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E87" w:rsidRPr="00F53E87" w:rsidRDefault="00F53E87" w:rsidP="00F53E87">
      <w:pPr>
        <w:spacing w:before="150" w:after="150" w:line="450" w:lineRule="atLeast"/>
        <w:jc w:val="center"/>
        <w:outlineLvl w:val="0"/>
        <w:rPr>
          <w:rFonts w:ascii="Arial" w:eastAsia="Times New Roman" w:hAnsi="Arial" w:cs="Arial"/>
          <w:color w:val="036AA9"/>
          <w:kern w:val="36"/>
          <w:sz w:val="36"/>
          <w:szCs w:val="36"/>
          <w:lang w:eastAsia="ru-RU"/>
        </w:rPr>
      </w:pPr>
      <w:r w:rsidRPr="00F53E87">
        <w:rPr>
          <w:rFonts w:ascii="Arial" w:eastAsia="Times New Roman" w:hAnsi="Arial" w:cs="Arial"/>
          <w:color w:val="036AA9"/>
          <w:kern w:val="36"/>
          <w:sz w:val="36"/>
          <w:szCs w:val="36"/>
          <w:lang w:eastAsia="ru-RU"/>
        </w:rPr>
        <w:t>Азбука потребителя: Предоставление услуг жилищно-коммунального хозяйства. Урок № 15. Порядок внесения платы за коммунальные услуги</w:t>
      </w:r>
    </w:p>
    <w:p w:rsidR="00F53E87" w:rsidRPr="00F53E87" w:rsidRDefault="00F53E87" w:rsidP="00F53E87">
      <w:pPr>
        <w:numPr>
          <w:ilvl w:val="0"/>
          <w:numId w:val="3"/>
        </w:numPr>
        <w:pBdr>
          <w:top w:val="single" w:sz="6" w:space="0" w:color="F0F0F0"/>
          <w:left w:val="single" w:sz="6" w:space="15" w:color="F0F0F0"/>
          <w:bottom w:val="single" w:sz="6" w:space="4" w:color="F0F0F0"/>
          <w:right w:val="single" w:sz="6" w:space="0" w:color="F0F0F0"/>
        </w:pBdr>
        <w:spacing w:after="0" w:line="300" w:lineRule="atLeast"/>
        <w:ind w:left="0"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noProof/>
          <w:color w:val="4B72BC"/>
          <w:sz w:val="21"/>
          <w:szCs w:val="21"/>
          <w:lang w:eastAsia="ru-RU"/>
        </w:rPr>
        <w:drawing>
          <wp:inline distT="0" distB="0" distL="0" distR="0" wp14:anchorId="6D817006" wp14:editId="19B3836E">
            <wp:extent cx="2381250" cy="2381250"/>
            <wp:effectExtent l="0" t="0" r="0" b="0"/>
            <wp:docPr id="1" name="Рисунок 1" descr="http://www.fbuz66.ru/UPLOAD/2020/12/08/news_1257_1359_250_2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buz66.ru/UPLOAD/2020/12/08/news_1257_1359_250_25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E87" w:rsidRPr="00F53E87" w:rsidRDefault="00F53E87" w:rsidP="00F53E87">
      <w:pPr>
        <w:shd w:val="clear" w:color="auto" w:fill="EEFFA8"/>
        <w:spacing w:after="75" w:line="312" w:lineRule="atLeast"/>
        <w:rPr>
          <w:rFonts w:ascii="Arial" w:eastAsia="Times New Roman" w:hAnsi="Arial" w:cs="Arial"/>
          <w:color w:val="B8CF5A"/>
          <w:sz w:val="17"/>
          <w:szCs w:val="17"/>
          <w:lang w:eastAsia="ru-RU"/>
        </w:rPr>
      </w:pP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bookmarkStart w:id="0" w:name="_GoBack"/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Исполнители коммунальных услуг обязаны предоставить потребителю информацию о порядке и форме оплаты коммунальных услуг (</w:t>
      </w:r>
      <w:r w:rsidRPr="00F53E87">
        <w:rPr>
          <w:rFonts w:ascii="Arial" w:eastAsia="Times New Roman" w:hAnsi="Arial" w:cs="Arial"/>
          <w:i/>
          <w:iCs/>
          <w:color w:val="4D4C4C"/>
          <w:sz w:val="21"/>
          <w:szCs w:val="21"/>
          <w:lang w:eastAsia="ru-RU"/>
        </w:rPr>
        <w:t>способы размещения такой информации рассмотрены в уроке «Предоставление информации потребителю»</w:t>
      </w: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).  Потребители обязаны своевременно и в полном объеме вносить плату за жилое помещение и коммунальные услуги. Такая обязанность должна осуществляться собственником с момента возникновения права собственности на помещение, в отношении нанимателей действуют правила возникновения обязанности в соответствии со ст. 153 ЖК РФ.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Порядок оплаты зависит от способа управления МКД: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 xml:space="preserve">- при непосредственном управлении собственниками – в </w:t>
      </w:r>
      <w:proofErr w:type="spellStart"/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ресурсоснабжающую</w:t>
      </w:r>
      <w:proofErr w:type="spellEnd"/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 xml:space="preserve"> организацию (либо её платежным агентам);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 - при управлении УК, ТСЖ, кооперативом – исполнителю (либо платежному агенту по его поручению).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 xml:space="preserve">- внесение оплаты в </w:t>
      </w:r>
      <w:proofErr w:type="spellStart"/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ресурсоснабжающую</w:t>
      </w:r>
      <w:proofErr w:type="spellEnd"/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 xml:space="preserve"> организацию - если решение о таком способе расчетов принято общим собранием собственников помещений в МКД.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Основанием для внесения оплаты является платежный документ, который предоставляется на бумажном носителе, а также может быть размещен в информационной системе в электронной форме. Требования к платежному документу установлены п. 69 Правил № 354. Оплата вносится наличными или безналичными денежными средствами, в том числе при оплате через сеть «Интернет».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Отдельные особенности внесения оплаты: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 xml:space="preserve">- оплата в рассрочку, если размер платы за услугу, предоставленную в жилом помещении в каком-либо расчетном периоде превысит размер за аналогичный расчетный период прошлого года более чем на 25 %. В этом случае исполнитель обязан предоставить потребителю право на оплату в рассрочку, включив в платежный документ наряду с позицией, предусматривающей внесение платы за коммунальную услугу за расчетный период единовременно, позиций, предусматривающих возможность внесения платы в рассрочку в </w:t>
      </w: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lastRenderedPageBreak/>
        <w:t>размере одной двенадцатой размера платы за коммунальную услугу. Потребитель вправе воспользоваться либо отказаться от такой рассрочки. 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- предоставление льгот или субсидий отдельным категориям граждан в соответствии с установленным законом порядком. Например, Постановлением Правительства РФ от 14.12.2005 N 761 утверждён порядок предоставлении субсидий на оплату жилого помещения и коммунальных услуг потребителям с недостаточными доходами.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 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b/>
          <w:bCs/>
          <w:color w:val="4D4C4C"/>
          <w:sz w:val="21"/>
          <w:szCs w:val="21"/>
          <w:lang w:eastAsia="ru-RU"/>
        </w:rPr>
        <w:t>Последствия нарушения потребителем обязанностей по внесению платы: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1.  В случае невнесения или несвоевременного внесения платы за коммунальные услуги потребитель обязан уплатить исполнителю услуг пени. Начисление пени производится с тридцать первого дня, следующего за днем наступления срока оплаты, за каждый день просрочки оплаты. 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Например, если оплату надлежало внести до 10 сентября, то начисление пени при ее невнесении начинается с 11 ноября.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В течении первых 90 дней пени начисляются в размере 1/300 ставки рефинансирования Центрального банка Российской Федерации (установленной на день фактической оплаты) от не выплаченной в срок суммы.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Начиная с 91 дня по день фактической оплаты пени уплачиваются в размере 1/130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данных размеров пеней исполнителем не допускается.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1.    В случае, если жилое помещение не оборудовано приборами учета и расчет платы происходит исходя из числа проживающих, потребитель обязан информировать исполнителя об увеличении или уменьшении числа проживающих (в том числе временно) в занимаемом им жилом помещении, не позднее 5 рабочих дней со дня произошедших изменений.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3. Для установления достоверного количества проживающих в помещении исполнитель вправе составить соответствующий акт. Указанный акт подписывается исполнителем и потребителем, а в случае отказа потребителя от подписания акта - исполнителем и не менее чем 2 потребителями и членом совета многоквартирного дома, председателем товарищества или кооператива. Исполнитель обязан передать 1 экземпляр акта собственнику жилого помещения (постоянно проживающему потребителю), а при отказе в получении такого акта делается отметка.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В этом случае датой начала проживания временно проживающих потребителей считается 1-е число месяца даты составления указанного акта. С этой даты расчет платы производится исходя из установленного количества проживающих.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 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b/>
          <w:bCs/>
          <w:color w:val="4D4C4C"/>
          <w:sz w:val="21"/>
          <w:szCs w:val="21"/>
          <w:lang w:eastAsia="ru-RU"/>
        </w:rPr>
        <w:t>Ответственность исполнителя за нарушение прав потребителя: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b/>
          <w:bCs/>
          <w:color w:val="4D4C4C"/>
          <w:sz w:val="21"/>
          <w:szCs w:val="21"/>
          <w:lang w:eastAsia="ru-RU"/>
        </w:rPr>
        <w:t>1. Предъявление требования о предоставлении информации.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При несогласии с произведенными расчетами потребитель вправе требовать предоставить ему информацию о порядке расчета платы, а также о наличии либо отсутствии у него обязанности по установке прибора учета / технической возможности его установки.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b/>
          <w:bCs/>
          <w:color w:val="4D4C4C"/>
          <w:sz w:val="21"/>
          <w:szCs w:val="21"/>
          <w:lang w:eastAsia="ru-RU"/>
        </w:rPr>
        <w:lastRenderedPageBreak/>
        <w:t>2. Предъявление претензии исполнителю.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В случае, если потребитель считает, что исполнителем нарушается порядок расчета платы, он вправе обратиться к исполнителю с претензией, в которой потребовать проведения проверки правильности исчисления размера платы за коммунальные услуги, имеющихся задолженностей или переплат, а также правильности начисления неустоек (штрафов, пеней). В таком случае, исполнитель обязан немедленно по результатам проверки выдавать потребителю документы, содержащие правильно начисленные платежи. По требованию потребителя документы должны быть заверены подписью руководителя и печатью исполнителя.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b/>
          <w:bCs/>
          <w:color w:val="4D4C4C"/>
          <w:sz w:val="21"/>
          <w:szCs w:val="21"/>
          <w:lang w:eastAsia="ru-RU"/>
        </w:rPr>
        <w:t>3.  Судебный порядок.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В случае отказа удовлетворить требования потребителя в добровольном порядке потребитель вправе обратиться с исковым заявлением в суд. В исковом заявлении необходимо указать доводы, по которым потребитель не согласен с расчетом платы, а также приложить собственный расчет.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b/>
          <w:bCs/>
          <w:color w:val="4D4C4C"/>
          <w:sz w:val="21"/>
          <w:szCs w:val="21"/>
          <w:lang w:eastAsia="ru-RU"/>
        </w:rPr>
        <w:t>4. Административная ответственность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 xml:space="preserve">Нарушение исполнителем коммунальных услуг порядка расчета размера платы за соответствующий </w:t>
      </w:r>
      <w:proofErr w:type="gramStart"/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вид  коммунальной</w:t>
      </w:r>
      <w:proofErr w:type="gramEnd"/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 xml:space="preserve"> услуги (например, холодное водоснабжение, газоснабжение, электроснабжение и др.) влечет наступление административной </w:t>
      </w:r>
      <w:proofErr w:type="spellStart"/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ответственностипо</w:t>
      </w:r>
      <w:proofErr w:type="spellEnd"/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 </w:t>
      </w:r>
      <w:r w:rsidRPr="00F53E87">
        <w:rPr>
          <w:rFonts w:ascii="Arial" w:eastAsia="Times New Roman" w:hAnsi="Arial" w:cs="Arial"/>
          <w:b/>
          <w:bCs/>
          <w:i/>
          <w:iCs/>
          <w:color w:val="4D4C4C"/>
          <w:sz w:val="21"/>
          <w:szCs w:val="21"/>
          <w:lang w:eastAsia="ru-RU"/>
        </w:rPr>
        <w:t>ч. 1, 2</w:t>
      </w: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 </w:t>
      </w:r>
      <w:r w:rsidRPr="00F53E87">
        <w:rPr>
          <w:rFonts w:ascii="Arial" w:eastAsia="Times New Roman" w:hAnsi="Arial" w:cs="Arial"/>
          <w:b/>
          <w:bCs/>
          <w:i/>
          <w:iCs/>
          <w:color w:val="4D4C4C"/>
          <w:sz w:val="21"/>
          <w:szCs w:val="21"/>
          <w:lang w:eastAsia="ru-RU"/>
        </w:rPr>
        <w:t>ст. 14.6 или ст. 14.7 КоАП РФ </w:t>
      </w: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 xml:space="preserve">– в отношении </w:t>
      </w:r>
      <w:proofErr w:type="spellStart"/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ресурсоснабжающей</w:t>
      </w:r>
      <w:proofErr w:type="spellEnd"/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 xml:space="preserve"> организации.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В отношении Управляющей компании, ТСЖ за данное нарушение ответственность наступает </w:t>
      </w:r>
      <w:r w:rsidRPr="00F53E87">
        <w:rPr>
          <w:rFonts w:ascii="Arial" w:eastAsia="Times New Roman" w:hAnsi="Arial" w:cs="Arial"/>
          <w:b/>
          <w:bCs/>
          <w:i/>
          <w:iCs/>
          <w:color w:val="4D4C4C"/>
          <w:sz w:val="21"/>
          <w:szCs w:val="21"/>
          <w:lang w:eastAsia="ru-RU"/>
        </w:rPr>
        <w:t>по ст. 7.23.3 КоАП РФ либо ч. 2, 3 ст. 14.1.3 КоАП РФ.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 xml:space="preserve">Проверку по фактам выявленных нарушений осуществляет Департамент государственного жилищного и строительного надзора Свердловской области, которая по результатам проверки направляет материалы в Управление </w:t>
      </w:r>
      <w:proofErr w:type="spellStart"/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Роспотребнадзора</w:t>
      </w:r>
      <w:proofErr w:type="spellEnd"/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 xml:space="preserve"> по Свердловской области для составления протокола об административном правонарушении по вышеназванным статьям.</w:t>
      </w:r>
    </w:p>
    <w:p w:rsidR="00F53E87" w:rsidRPr="00F53E87" w:rsidRDefault="00F53E87" w:rsidP="00F53E87">
      <w:pPr>
        <w:spacing w:before="150" w:after="150" w:line="330" w:lineRule="atLeast"/>
        <w:ind w:firstLine="510"/>
        <w:contextualSpacing/>
        <w:mirrorIndents/>
        <w:rPr>
          <w:rFonts w:ascii="Arial" w:eastAsia="Times New Roman" w:hAnsi="Arial" w:cs="Arial"/>
          <w:color w:val="4D4C4C"/>
          <w:sz w:val="21"/>
          <w:szCs w:val="21"/>
          <w:lang w:eastAsia="ru-RU"/>
        </w:rPr>
      </w:pPr>
      <w:r w:rsidRPr="00F53E87">
        <w:rPr>
          <w:rFonts w:ascii="Arial" w:eastAsia="Times New Roman" w:hAnsi="Arial" w:cs="Arial"/>
          <w:color w:val="4D4C4C"/>
          <w:sz w:val="21"/>
          <w:szCs w:val="21"/>
          <w:lang w:eastAsia="ru-RU"/>
        </w:rPr>
        <w:t>В целях привлечения исполнителя услуг к административной ответственности за совершение правонарушений, предусмотренных указанными статьями, потребителю рекомендуется обратиться </w:t>
      </w:r>
      <w:r w:rsidRPr="00F53E87">
        <w:rPr>
          <w:rFonts w:ascii="Arial" w:eastAsia="Times New Roman" w:hAnsi="Arial" w:cs="Arial"/>
          <w:b/>
          <w:bCs/>
          <w:i/>
          <w:iCs/>
          <w:color w:val="4D4C4C"/>
          <w:sz w:val="21"/>
          <w:szCs w:val="21"/>
          <w:lang w:eastAsia="ru-RU"/>
        </w:rPr>
        <w:t>с жалобой в Департамент государственного жилищного и строительного надзора Свердловской области по адресу: 620004, г. Екатеринбург, ул. Малышева, д. 101. </w:t>
      </w:r>
    </w:p>
    <w:bookmarkEnd w:id="0"/>
    <w:p w:rsidR="00F9192A" w:rsidRPr="00014DCD" w:rsidRDefault="00F9192A" w:rsidP="00F53E87">
      <w:pPr>
        <w:ind w:firstLine="510"/>
        <w:contextualSpacing/>
        <w:mirrorIndents/>
      </w:pPr>
    </w:p>
    <w:sectPr w:rsidR="00F9192A" w:rsidRPr="00014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74745"/>
    <w:multiLevelType w:val="multilevel"/>
    <w:tmpl w:val="E2D2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4C45F0"/>
    <w:multiLevelType w:val="multilevel"/>
    <w:tmpl w:val="7612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D2"/>
    <w:rsid w:val="00014DCD"/>
    <w:rsid w:val="005E7CD2"/>
    <w:rsid w:val="00F53E87"/>
    <w:rsid w:val="00F62D3E"/>
    <w:rsid w:val="00F9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ADF56-D338-4A4D-A066-8D3EFA6C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74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D5E68E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buz66.ru/UPLOAD/2020/12/08/news_1257_1359_500_5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Вострова А.Н.</dc:creator>
  <cp:keywords/>
  <dc:description/>
  <cp:lastModifiedBy>Вострова А.Н.</cp:lastModifiedBy>
  <cp:revision>5</cp:revision>
  <dcterms:created xsi:type="dcterms:W3CDTF">2020-12-09T04:07:00Z</dcterms:created>
  <dcterms:modified xsi:type="dcterms:W3CDTF">2020-12-09T04:20:00Z</dcterms:modified>
</cp:coreProperties>
</file>